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Storia dello sport: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olimpiadi antiche e moderne, evoluzione del concetto di sport nel corso degli anni, sport e addestramento militare nei secoli.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Malattia ipocinetica prevenzione e cura: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importanza di uno stile di vita sano e attivo.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Fondamentali individuali di gioco: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Tennis da tavolo, pallavolo, basket.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5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AFM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LJZZcVOW34g4ZYoskUdzov0+g==">AMUW2mVvzk8JQdcD2uxsZwQ8ld9p+Vt0ECA95/zdxzbqgvWP3teQHAxAzFtx0CR6QChP/sxtERaXw2nAtp3A6DU4mYmLyPf4ppY0XpctnvEGYk0HVgupRxE=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