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BA83" w14:textId="4AF600D2" w:rsidR="009F3ECA" w:rsidRDefault="009F3ECA" w:rsidP="009F3ECA">
      <w:pPr>
        <w:pStyle w:val="TableParagraph"/>
        <w:ind w:right="334"/>
        <w:jc w:val="center"/>
        <w:rPr>
          <w:rFonts w:ascii="Arial" w:eastAsiaTheme="minorHAnsi" w:hAnsi="Arial" w:cs="Arial"/>
          <w:b/>
          <w:bCs/>
          <w:kern w:val="2"/>
          <w:sz w:val="28"/>
          <w:szCs w:val="28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sz w:val="28"/>
          <w:szCs w:val="28"/>
          <w14:ligatures w14:val="standardContextual"/>
        </w:rPr>
        <w:t>ECONOMIA AZIENDALE</w:t>
      </w:r>
    </w:p>
    <w:p w14:paraId="5A8A4A8F" w14:textId="0C726732" w:rsidR="009F3ECA" w:rsidRPr="009F3ECA" w:rsidRDefault="009F3ECA" w:rsidP="009F3ECA">
      <w:pPr>
        <w:pStyle w:val="TableParagraph"/>
        <w:ind w:right="334"/>
        <w:jc w:val="center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proofErr w:type="spellStart"/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a.s.</w:t>
      </w:r>
      <w:proofErr w:type="spellEnd"/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2022/2023</w:t>
      </w:r>
    </w:p>
    <w:p w14:paraId="03AD3D87" w14:textId="77777777" w:rsidR="009F3ECA" w:rsidRDefault="009F3ECA" w:rsidP="009F3ECA">
      <w:pPr>
        <w:pStyle w:val="TableParagraph"/>
        <w:ind w:right="334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14:paraId="257BFADC" w14:textId="77777777" w:rsidR="009F3ECA" w:rsidRDefault="009F3ECA" w:rsidP="009F3ECA">
      <w:pPr>
        <w:pStyle w:val="TableParagraph"/>
        <w:ind w:right="334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14:paraId="430EE967" w14:textId="77777777" w:rsidR="009F3ECA" w:rsidRDefault="009F3ECA" w:rsidP="009F3ECA">
      <w:pPr>
        <w:pStyle w:val="TableParagraph"/>
        <w:ind w:right="334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14:paraId="4F1E478C" w14:textId="77777777" w:rsidR="009F3ECA" w:rsidRDefault="009F3ECA" w:rsidP="009F3ECA">
      <w:pPr>
        <w:pStyle w:val="TableParagraph"/>
        <w:ind w:right="334"/>
        <w:jc w:val="both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5A3A5444" w14:textId="30FC037B" w:rsidR="009F3ECA" w:rsidRPr="009F3ECA" w:rsidRDefault="009F3ECA" w:rsidP="009F3ECA">
      <w:pPr>
        <w:pStyle w:val="TableParagraph"/>
        <w:ind w:right="334"/>
        <w:jc w:val="both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9F3ECA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P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rogramma svolto </w:t>
      </w:r>
    </w:p>
    <w:p w14:paraId="0ABF8973" w14:textId="77777777" w:rsidR="009F3ECA" w:rsidRPr="00625DAF" w:rsidRDefault="009F3ECA" w:rsidP="009F3ECA">
      <w:pPr>
        <w:pStyle w:val="TableParagraph"/>
        <w:ind w:right="334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14:paraId="6C291E12" w14:textId="77777777" w:rsidR="009F3ECA" w:rsidRDefault="009F3ECA" w:rsidP="009F3ECA">
      <w:pPr>
        <w:pStyle w:val="TableParagraph"/>
        <w:ind w:right="334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14:paraId="6B41FF04" w14:textId="77777777" w:rsidR="009F3ECA" w:rsidRDefault="009F3ECA" w:rsidP="009F3ECA">
      <w:pPr>
        <w:pStyle w:val="TableParagraph"/>
        <w:ind w:right="334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14:paraId="7108C4F6" w14:textId="67935C3C" w:rsidR="009F3ECA" w:rsidRDefault="009F3ECA" w:rsidP="009F3ECA">
      <w:pPr>
        <w:pStyle w:val="TableParagraph"/>
        <w:ind w:right="334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625DAF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DOCENTE: ANNA CAPALDINI</w:t>
      </w:r>
      <w:r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 – SILVIA CACCIAMANI</w:t>
      </w:r>
    </w:p>
    <w:p w14:paraId="1B464E5A" w14:textId="77777777" w:rsidR="009F3ECA" w:rsidRPr="00625DAF" w:rsidRDefault="009F3ECA" w:rsidP="009F3ECA">
      <w:pPr>
        <w:pStyle w:val="TableParagraph"/>
        <w:ind w:right="334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14:paraId="7878F671" w14:textId="77777777" w:rsidR="009F3ECA" w:rsidRPr="00625DAF" w:rsidRDefault="009F3ECA" w:rsidP="009F3ECA">
      <w:pPr>
        <w:pStyle w:val="TableParagraph"/>
        <w:ind w:right="334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14:paraId="53934E9A" w14:textId="77777777" w:rsidR="009F3ECA" w:rsidRPr="009D56A8" w:rsidRDefault="009F3ECA" w:rsidP="009F3ECA">
      <w:pPr>
        <w:pStyle w:val="TableParagraph"/>
        <w:numPr>
          <w:ilvl w:val="0"/>
          <w:numId w:val="1"/>
        </w:numPr>
        <w:spacing w:line="360" w:lineRule="auto"/>
        <w:ind w:left="357" w:right="335" w:hanging="357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LA CONTABILITA’ GENERALE E IL BILANCIO con esclusione di</w:t>
      </w:r>
    </w:p>
    <w:p w14:paraId="553B4608" w14:textId="77777777" w:rsidR="009F3ECA" w:rsidRPr="009D56A8" w:rsidRDefault="009F3ECA" w:rsidP="009F3ECA">
      <w:pPr>
        <w:pStyle w:val="TableParagraph"/>
        <w:numPr>
          <w:ilvl w:val="1"/>
          <w:numId w:val="1"/>
        </w:numPr>
        <w:spacing w:line="360" w:lineRule="auto"/>
        <w:ind w:right="335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Principi internazionali, IAS/IFRS</w:t>
      </w:r>
    </w:p>
    <w:p w14:paraId="5DFA83CF" w14:textId="77777777" w:rsidR="009F3ECA" w:rsidRPr="009D56A8" w:rsidRDefault="009F3ECA" w:rsidP="009F3ECA">
      <w:pPr>
        <w:pStyle w:val="TableParagraph"/>
        <w:numPr>
          <w:ilvl w:val="1"/>
          <w:numId w:val="1"/>
        </w:numPr>
        <w:spacing w:line="360" w:lineRule="auto"/>
        <w:ind w:right="335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La relazione sulla gestione</w:t>
      </w:r>
    </w:p>
    <w:p w14:paraId="6E9F9368" w14:textId="77777777" w:rsidR="009F3ECA" w:rsidRPr="009D56A8" w:rsidRDefault="009F3ECA" w:rsidP="009F3ECA">
      <w:pPr>
        <w:pStyle w:val="TableParagraph"/>
        <w:numPr>
          <w:ilvl w:val="1"/>
          <w:numId w:val="1"/>
        </w:numPr>
        <w:spacing w:line="360" w:lineRule="auto"/>
        <w:ind w:right="335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La revisione legale</w:t>
      </w:r>
    </w:p>
    <w:p w14:paraId="7AE6FC9B" w14:textId="77777777" w:rsidR="009F3ECA" w:rsidRPr="009D56A8" w:rsidRDefault="009F3ECA" w:rsidP="009F3ECA">
      <w:pPr>
        <w:pStyle w:val="TableParagraph"/>
        <w:numPr>
          <w:ilvl w:val="1"/>
          <w:numId w:val="1"/>
        </w:numPr>
        <w:spacing w:line="360" w:lineRule="auto"/>
        <w:ind w:right="335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Le attività di revisione contabile</w:t>
      </w:r>
    </w:p>
    <w:p w14:paraId="0A75C205" w14:textId="77777777" w:rsidR="009F3ECA" w:rsidRPr="009D56A8" w:rsidRDefault="009F3ECA" w:rsidP="009F3ECA">
      <w:pPr>
        <w:pStyle w:val="TableParagraph"/>
        <w:numPr>
          <w:ilvl w:val="1"/>
          <w:numId w:val="1"/>
        </w:numPr>
        <w:spacing w:line="360" w:lineRule="auto"/>
        <w:ind w:right="335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Le verifiche nel corso dell’esercizio</w:t>
      </w:r>
    </w:p>
    <w:p w14:paraId="62A0E918" w14:textId="77777777" w:rsidR="009F3ECA" w:rsidRPr="009D56A8" w:rsidRDefault="009F3ECA" w:rsidP="009F3ECA">
      <w:pPr>
        <w:pStyle w:val="TableParagraph"/>
        <w:numPr>
          <w:ilvl w:val="1"/>
          <w:numId w:val="1"/>
        </w:numPr>
        <w:spacing w:line="360" w:lineRule="auto"/>
        <w:ind w:right="335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La relazione e il giudizio sul bilancio</w:t>
      </w:r>
    </w:p>
    <w:p w14:paraId="521B2F29" w14:textId="77777777" w:rsidR="009F3ECA" w:rsidRPr="009D56A8" w:rsidRDefault="009F3ECA" w:rsidP="009F3ECA">
      <w:pPr>
        <w:pStyle w:val="TableParagraph"/>
        <w:numPr>
          <w:ilvl w:val="0"/>
          <w:numId w:val="1"/>
        </w:numPr>
        <w:spacing w:line="360" w:lineRule="auto"/>
        <w:ind w:left="357" w:right="335" w:hanging="357"/>
        <w:jc w:val="both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9D56A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RESPONSABILITA’ SOCIALE D’IMPRESA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(cenni)</w:t>
      </w:r>
    </w:p>
    <w:p w14:paraId="77ED11E1" w14:textId="77777777" w:rsidR="009F3ECA" w:rsidRPr="009D56A8" w:rsidRDefault="009F3ECA" w:rsidP="009F3ECA">
      <w:pPr>
        <w:pStyle w:val="TableParagraph"/>
        <w:numPr>
          <w:ilvl w:val="0"/>
          <w:numId w:val="1"/>
        </w:numPr>
        <w:spacing w:line="360" w:lineRule="auto"/>
        <w:ind w:left="357" w:right="335" w:hanging="357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FISCALITA’ D’IMPRESA con esclusione di </w:t>
      </w:r>
    </w:p>
    <w:p w14:paraId="5CD3EAB5" w14:textId="77777777" w:rsidR="009F3ECA" w:rsidRPr="009D56A8" w:rsidRDefault="009F3ECA" w:rsidP="009F3ECA">
      <w:pPr>
        <w:pStyle w:val="TableParagraph"/>
        <w:numPr>
          <w:ilvl w:val="1"/>
          <w:numId w:val="1"/>
        </w:numPr>
        <w:spacing w:line="360" w:lineRule="auto"/>
        <w:ind w:right="335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Deducibilità canoni di leasing</w:t>
      </w:r>
    </w:p>
    <w:p w14:paraId="48E01944" w14:textId="77777777" w:rsidR="009F3ECA" w:rsidRPr="009D56A8" w:rsidRDefault="009F3ECA" w:rsidP="009F3ECA">
      <w:pPr>
        <w:pStyle w:val="TableParagraph"/>
        <w:numPr>
          <w:ilvl w:val="1"/>
          <w:numId w:val="1"/>
        </w:numPr>
        <w:spacing w:line="360" w:lineRule="auto"/>
        <w:ind w:right="335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Deducibilità interessi passivi</w:t>
      </w:r>
    </w:p>
    <w:p w14:paraId="583614AD" w14:textId="77777777" w:rsidR="009F3ECA" w:rsidRPr="009D56A8" w:rsidRDefault="009F3ECA" w:rsidP="009F3ECA">
      <w:pPr>
        <w:pStyle w:val="TableParagraph"/>
        <w:numPr>
          <w:ilvl w:val="1"/>
          <w:numId w:val="1"/>
        </w:numPr>
        <w:spacing w:line="360" w:lineRule="auto"/>
        <w:ind w:right="335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Trattamento fiscale dividendi su partecipazioni</w:t>
      </w:r>
    </w:p>
    <w:p w14:paraId="2DC41BEC" w14:textId="77777777" w:rsidR="009F3ECA" w:rsidRPr="00625DAF" w:rsidRDefault="009F3ECA" w:rsidP="009F3ECA">
      <w:pPr>
        <w:pStyle w:val="TableParagraph"/>
        <w:numPr>
          <w:ilvl w:val="1"/>
          <w:numId w:val="1"/>
        </w:numPr>
        <w:spacing w:line="360" w:lineRule="auto"/>
        <w:ind w:right="335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Le imposte differite e anticipate</w:t>
      </w:r>
    </w:p>
    <w:p w14:paraId="576FF5DD" w14:textId="77777777" w:rsidR="009F3ECA" w:rsidRPr="00625DAF" w:rsidRDefault="009F3ECA" w:rsidP="009F3ECA">
      <w:pPr>
        <w:pStyle w:val="TableParagraph"/>
        <w:numPr>
          <w:ilvl w:val="0"/>
          <w:numId w:val="1"/>
        </w:numPr>
        <w:spacing w:line="360" w:lineRule="auto"/>
        <w:ind w:left="357" w:right="335" w:hanging="357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CONTABILITA’ GESTIONALE</w:t>
      </w:r>
    </w:p>
    <w:p w14:paraId="7D3803E9" w14:textId="77777777" w:rsidR="009F3ECA" w:rsidRPr="00625DAF" w:rsidRDefault="009F3ECA" w:rsidP="009F3ECA">
      <w:pPr>
        <w:pStyle w:val="TableParagraph"/>
        <w:numPr>
          <w:ilvl w:val="0"/>
          <w:numId w:val="1"/>
        </w:numPr>
        <w:spacing w:line="360" w:lineRule="auto"/>
        <w:ind w:left="357" w:right="335" w:hanging="357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STRATEGIE, PIANIFICAZIONE E PROGRAMMAZIONE AZIENDALE</w:t>
      </w:r>
    </w:p>
    <w:p w14:paraId="68FAFFAC" w14:textId="77777777" w:rsidR="009F3ECA" w:rsidRPr="000D1FE2" w:rsidRDefault="009F3ECA" w:rsidP="009F3ECA">
      <w:pPr>
        <w:pStyle w:val="TableParagraph"/>
        <w:numPr>
          <w:ilvl w:val="0"/>
          <w:numId w:val="1"/>
        </w:numPr>
        <w:spacing w:line="360" w:lineRule="auto"/>
        <w:ind w:left="357" w:right="335" w:hanging="357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TIPOLOGIE FORME DI FINANZIAMENTO (cenni sulle caratteristiche tecniche)</w:t>
      </w:r>
    </w:p>
    <w:p w14:paraId="002F5769" w14:textId="77777777" w:rsidR="009F3ECA" w:rsidRPr="00625DAF" w:rsidRDefault="009F3ECA" w:rsidP="009F3ECA">
      <w:pPr>
        <w:pStyle w:val="TableParagraph"/>
        <w:numPr>
          <w:ilvl w:val="0"/>
          <w:numId w:val="1"/>
        </w:numPr>
        <w:spacing w:line="360" w:lineRule="auto"/>
        <w:ind w:left="357" w:right="335" w:hanging="357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EDUCAZIONE CIVICA: L’UNIONE EUROPEA</w:t>
      </w:r>
    </w:p>
    <w:p w14:paraId="22F55DF4" w14:textId="5DE129FF" w:rsidR="00F427C1" w:rsidRDefault="00F427C1"/>
    <w:p w14:paraId="22151672" w14:textId="59F39DC3" w:rsidR="009F3ECA" w:rsidRDefault="009F3ECA">
      <w:pPr>
        <w:rPr>
          <w:rFonts w:ascii="Arial" w:hAnsi="Arial" w:cs="Arial"/>
          <w:sz w:val="24"/>
          <w:szCs w:val="24"/>
        </w:rPr>
      </w:pPr>
      <w:r w:rsidRPr="009F3ECA">
        <w:rPr>
          <w:rFonts w:ascii="Arial" w:hAnsi="Arial" w:cs="Arial"/>
          <w:sz w:val="24"/>
          <w:szCs w:val="24"/>
        </w:rPr>
        <w:t xml:space="preserve">Perugia, lì </w:t>
      </w:r>
      <w:r>
        <w:rPr>
          <w:rFonts w:ascii="Arial" w:hAnsi="Arial" w:cs="Arial"/>
          <w:sz w:val="24"/>
          <w:szCs w:val="24"/>
        </w:rPr>
        <w:t>15/05/2023</w:t>
      </w:r>
    </w:p>
    <w:p w14:paraId="71F832AE" w14:textId="59BD2C2E" w:rsidR="009F3ECA" w:rsidRDefault="009F3ECA">
      <w:pPr>
        <w:rPr>
          <w:rFonts w:ascii="Arial" w:hAnsi="Arial" w:cs="Arial"/>
          <w:sz w:val="24"/>
          <w:szCs w:val="24"/>
        </w:rPr>
      </w:pPr>
    </w:p>
    <w:p w14:paraId="4954BB00" w14:textId="4DDE508D" w:rsidR="009F3ECA" w:rsidRPr="009F3ECA" w:rsidRDefault="009F3E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Studenti                                                                                          Docente</w:t>
      </w:r>
    </w:p>
    <w:sectPr w:rsidR="009F3ECA" w:rsidRPr="009F3E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73DA7"/>
    <w:multiLevelType w:val="hybridMultilevel"/>
    <w:tmpl w:val="F67475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4B"/>
    <w:rsid w:val="005C6B9F"/>
    <w:rsid w:val="009F3ECA"/>
    <w:rsid w:val="00D5574B"/>
    <w:rsid w:val="00F4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8A25"/>
  <w15:chartTrackingRefBased/>
  <w15:docId w15:val="{F0F7C851-AFDF-4AAA-9418-DB025104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F3EC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Capaldini</dc:creator>
  <cp:keywords/>
  <dc:description/>
  <cp:lastModifiedBy>Anna Capaldini</cp:lastModifiedBy>
  <cp:revision>2</cp:revision>
  <cp:lastPrinted>2023-05-19T15:39:00Z</cp:lastPrinted>
  <dcterms:created xsi:type="dcterms:W3CDTF">2023-05-19T16:11:00Z</dcterms:created>
  <dcterms:modified xsi:type="dcterms:W3CDTF">2023-05-19T16:11:00Z</dcterms:modified>
</cp:coreProperties>
</file>